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b w:val="1"/>
          <w:i w:val="1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48"/>
          <w:szCs w:val="48"/>
          <w:rtl w:val="0"/>
        </w:rPr>
        <w:t xml:space="preserve">INSTRUCTIONS FOR MACHIAVELLI READING FROM “THE PRINCE”</w:t>
      </w:r>
    </w:p>
    <w:p w:rsidR="00000000" w:rsidDel="00000000" w:rsidP="00000000" w:rsidRDefault="00000000" w:rsidRPr="00000000" w14:paraId="00000002">
      <w:pPr>
        <w:ind w:left="0" w:firstLine="0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b w:val="1"/>
          <w:sz w:val="28"/>
          <w:szCs w:val="28"/>
          <w:rtl w:val="0"/>
        </w:rPr>
        <w:t xml:space="preserve">Define Humanism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ind w:left="720" w:firstLine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Review the Word Bank that covers terms that you may not know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Groups will be assigned a section of the reading to read and “translate” into a less complicated summary of the main points of the passage.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Write your summary on a poster and be prepared to share it with the class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You may use bullet points, pictures, or full sentences as long as the main message is conveyed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We will read the summaries as a class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Independently, answer the questions at the end of the rea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ding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</w:rPr>
        <w:drawing>
          <wp:inline distB="114300" distT="114300" distL="114300" distR="114300">
            <wp:extent cx="2560715" cy="14239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0715" cy="142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