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Slave Songs: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Gospel Train's A'Comin' Story: This song was sung to tell other slaves that they were preparing to escape. The “Gospel Train” was code for Underground Railroad.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Lyrics: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 Gospel train’s a’comin’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hear it just at hand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 hear the car wheel rumblin’ And rollin’ thro’ the land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Chorus: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Get on board little children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Get on board little children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Get on board little children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There's room for many more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 hear the train a’comin'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She's comin' round the curve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She's loosened all her steam and brakes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And strainin' ev'ry nerve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Chorus: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The fare is cheap and all can go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The rich and poor are there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No second class aboard this train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No difference in the fare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Follow the Drinking Gourd Story: The lyrics were instructions on how to get to safety. They were taught by a man known as Peg Leg Joe. The young slaves would use to song to know when it is safe to run, and where it is safe to go.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Lyrics: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When the Sun comes back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And the first quail calls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Follow the Drinking Gourd,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For the old man is a-waiting for to carry you to freedom If you follow the Drinking Gourd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The riverbank makes a very good road.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The dead trees will show you the way.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Left foot, peg foot, travelling on,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Follow the Drinking Gourd.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The river ends between two hills Follow the Drinking Gourd.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There’s another river on the other side Follow the Drinking Gourd.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When the great big river meets the little river Follow the Drinking Gourd.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For the old man is a-waiting for to carry to freedom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If you follow the Drinking Gourd.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